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FC22DF">
              <w:rPr>
                <w:b/>
                <w:sz w:val="28"/>
                <w:szCs w:val="28"/>
              </w:rPr>
              <w:t>Південна, 28а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FC22DF">
        <w:rPr>
          <w:sz w:val="28"/>
          <w:szCs w:val="28"/>
          <w:lang w:val="uk-UA"/>
        </w:rPr>
        <w:t>Павлишина</w:t>
      </w:r>
      <w:proofErr w:type="spellEnd"/>
      <w:r w:rsidR="00FC22DF">
        <w:rPr>
          <w:sz w:val="28"/>
          <w:szCs w:val="28"/>
          <w:lang w:val="uk-UA"/>
        </w:rPr>
        <w:t xml:space="preserve"> Михайла Степановича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FC22DF">
        <w:rPr>
          <w:sz w:val="28"/>
          <w:szCs w:val="28"/>
          <w:lang w:val="uk-UA"/>
        </w:rPr>
        <w:t>Павлишину</w:t>
      </w:r>
      <w:proofErr w:type="spellEnd"/>
      <w:r w:rsidR="00FC22DF">
        <w:rPr>
          <w:sz w:val="28"/>
          <w:szCs w:val="28"/>
          <w:lang w:val="uk-UA"/>
        </w:rPr>
        <w:t xml:space="preserve"> Михайлу Степановичу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FC22DF">
        <w:rPr>
          <w:sz w:val="28"/>
          <w:szCs w:val="28"/>
          <w:lang w:val="uk-UA"/>
        </w:rPr>
        <w:t>615</w:t>
      </w:r>
      <w:r w:rsidR="000E25DB">
        <w:rPr>
          <w:sz w:val="28"/>
          <w:szCs w:val="28"/>
          <w:lang w:val="uk-UA"/>
        </w:rPr>
        <w:t>га на</w:t>
      </w:r>
      <w:r>
        <w:rPr>
          <w:sz w:val="28"/>
          <w:szCs w:val="28"/>
          <w:lang w:val="uk-UA"/>
        </w:rPr>
        <w:t xml:space="preserve"> вулиці </w:t>
      </w:r>
      <w:r w:rsidR="00FC22DF">
        <w:rPr>
          <w:sz w:val="28"/>
          <w:szCs w:val="28"/>
          <w:lang w:val="uk-UA"/>
        </w:rPr>
        <w:t>Південна, 28а</w:t>
      </w:r>
      <w:r w:rsidR="005C4751">
        <w:rPr>
          <w:sz w:val="28"/>
          <w:szCs w:val="28"/>
          <w:lang w:val="uk-UA"/>
        </w:rPr>
        <w:t xml:space="preserve"> 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2A4522">
        <w:rPr>
          <w:sz w:val="28"/>
          <w:szCs w:val="28"/>
          <w:lang w:val="uk-UA"/>
        </w:rPr>
        <w:t>Павлишину</w:t>
      </w:r>
      <w:proofErr w:type="spellEnd"/>
      <w:r w:rsidR="002A4522">
        <w:rPr>
          <w:sz w:val="28"/>
          <w:szCs w:val="28"/>
          <w:lang w:val="uk-UA"/>
        </w:rPr>
        <w:t xml:space="preserve"> Михайлу Степановичу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B1540B" w:rsidRDefault="00B1540B">
      <w:pPr>
        <w:rPr>
          <w:sz w:val="28"/>
          <w:szCs w:val="28"/>
          <w:lang w:val="uk-UA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46AF9" w:rsidRDefault="00B46AF9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2021-04-26T06:17:00Z</cp:lastPrinted>
  <dcterms:created xsi:type="dcterms:W3CDTF">2021-04-26T06:20:00Z</dcterms:created>
  <dcterms:modified xsi:type="dcterms:W3CDTF">2021-04-26T06:20:00Z</dcterms:modified>
</cp:coreProperties>
</file>